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BF40" w14:textId="08524087" w:rsidR="00281AC9" w:rsidRPr="00C76C50" w:rsidRDefault="00E02BB9" w:rsidP="00281AC9">
      <w:pPr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</w:pPr>
      <w:bookmarkStart w:id="0" w:name="_Hlk192153937"/>
      <w:r w:rsidRPr="00C76C50">
        <w:br/>
      </w:r>
      <w:r w:rsidRPr="00C76C50">
        <w:rPr>
          <w:b/>
          <w:bCs/>
          <w:color w:val="1A75BA"/>
          <w:sz w:val="56"/>
          <w:szCs w:val="56"/>
        </w:rPr>
        <w:br/>
      </w:r>
      <w:bookmarkEnd w:id="0"/>
      <w:r w:rsidR="00286474">
        <w:rPr>
          <w:rFonts w:eastAsia="Aptos"/>
          <w:noProof/>
          <w:kern w:val="2"/>
          <w:lang w:val="en-AU"/>
          <w14:ligatures w14:val="standardContextual"/>
        </w:rPr>
        <w:drawing>
          <wp:inline distT="0" distB="0" distL="0" distR="0" wp14:anchorId="1C65AB1C" wp14:editId="5682338A">
            <wp:extent cx="991722" cy="518400"/>
            <wp:effectExtent l="0" t="0" r="0" b="0"/>
            <wp:docPr id="227225876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25876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22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474">
        <w:rPr>
          <w:b/>
          <w:bCs/>
          <w:color w:val="1A75BA"/>
          <w:sz w:val="56"/>
          <w:szCs w:val="56"/>
        </w:rPr>
        <w:tab/>
      </w:r>
      <w:r w:rsidR="00286474"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  <w:t>Terms of Reference Template</w:t>
      </w:r>
    </w:p>
    <w:p w14:paraId="1B63CACD" w14:textId="77777777" w:rsidR="00281AC9" w:rsidRPr="00C76C50" w:rsidRDefault="00281AC9" w:rsidP="00281AC9"/>
    <w:p w14:paraId="2BA84D13" w14:textId="77777777" w:rsidR="00C76C50" w:rsidRPr="00C76C50" w:rsidRDefault="00C76C50" w:rsidP="00C76C50">
      <w:pPr>
        <w:widowControl/>
        <w:pBdr>
          <w:bottom w:val="single" w:sz="4" w:space="1" w:color="auto"/>
        </w:pBdr>
        <w:autoSpaceDE/>
        <w:autoSpaceDN/>
        <w:spacing w:after="160" w:line="259" w:lineRule="auto"/>
        <w:rPr>
          <w:b/>
          <w:bCs/>
          <w:color w:val="003D69"/>
          <w:sz w:val="30"/>
          <w:szCs w:val="30"/>
        </w:rPr>
      </w:pPr>
      <w:r w:rsidRPr="00C76C50">
        <w:rPr>
          <w:b/>
          <w:bCs/>
          <w:color w:val="003D69"/>
          <w:sz w:val="30"/>
          <w:szCs w:val="30"/>
        </w:rPr>
        <w:t>Title of Group:</w:t>
      </w:r>
    </w:p>
    <w:p w14:paraId="72A19569" w14:textId="629722D2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1. Purpose</w:t>
      </w:r>
      <w:r w:rsidRPr="00C76C50">
        <w:rPr>
          <w:rFonts w:eastAsia="Aptos"/>
          <w:kern w:val="2"/>
          <w:lang w:val="en-AU"/>
          <w14:ligatures w14:val="standardContextual"/>
        </w:rPr>
        <w:br/>
        <w:t>The [name of group] is established to provide insight, guidance, and recommendations based on lived and living experiences relevant to [service]. The group ensures that the voices of those directly impacted by [issue/topic] are heard and incorporated into [e.g. decision-making/policies/program development].</w:t>
      </w:r>
    </w:p>
    <w:p w14:paraId="3BEDD03C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2. Objectives</w:t>
      </w:r>
      <w:r w:rsidRPr="00C76C50">
        <w:rPr>
          <w:rFonts w:eastAsia="Aptos"/>
          <w:kern w:val="2"/>
          <w:lang w:val="en-AU"/>
          <w14:ligatures w14:val="standardContextual"/>
        </w:rPr>
        <w:t xml:space="preserve"> [note these should align with the overall engagement objectives of the project from the Engagement Plan]</w:t>
      </w:r>
      <w:r w:rsidRPr="00C76C50">
        <w:rPr>
          <w:rFonts w:eastAsia="Aptos"/>
          <w:kern w:val="2"/>
          <w:lang w:val="en-AU"/>
          <w14:ligatures w14:val="standardContextual"/>
        </w:rPr>
        <w:br/>
        <w:t>The [name of group] aims to:</w:t>
      </w:r>
    </w:p>
    <w:p w14:paraId="2D5A67A3" w14:textId="77777777" w:rsidR="00C76C50" w:rsidRPr="00C76C50" w:rsidRDefault="00C76C50" w:rsidP="00C76C50">
      <w:pPr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Invite, consider or embed lived and living experience perspectives to inform and shape [e.g. policies, programs, and services].</w:t>
      </w:r>
    </w:p>
    <w:p w14:paraId="0046A9E4" w14:textId="77777777" w:rsidR="00C76C50" w:rsidRPr="00C76C50" w:rsidRDefault="00C76C50" w:rsidP="00C76C50">
      <w:pPr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Ensure inclusivity, accessibility, and relevance in project activities.</w:t>
      </w:r>
    </w:p>
    <w:p w14:paraId="31F042DB" w14:textId="77777777" w:rsidR="00C76C50" w:rsidRPr="00C76C50" w:rsidRDefault="00C76C50" w:rsidP="00C76C50">
      <w:pPr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Foster meaningful engagement between decision-makers and individuals with lived and living experience.</w:t>
      </w:r>
    </w:p>
    <w:p w14:paraId="694199C8" w14:textId="77777777" w:rsidR="00C76C50" w:rsidRPr="00C76C50" w:rsidRDefault="00C76C50" w:rsidP="00C76C50">
      <w:pPr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Advocate for equity and social justice within the scope of the project.</w:t>
      </w:r>
    </w:p>
    <w:p w14:paraId="14B58E29" w14:textId="77777777" w:rsidR="00C76C50" w:rsidRPr="00C76C50" w:rsidRDefault="00C76C50" w:rsidP="00C76C50">
      <w:pPr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Provide feedback on [e.g. communication strategies, project outcomes, processes, etc].</w:t>
      </w:r>
    </w:p>
    <w:p w14:paraId="141B8214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3. Membership</w:t>
      </w:r>
    </w:p>
    <w:p w14:paraId="7E5A022B" w14:textId="77777777" w:rsidR="00C76C50" w:rsidRPr="00C76C50" w:rsidRDefault="00C76C50" w:rsidP="00C76C50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The group will comprise [number] members with lived and living experience relevant to [issue/topic] and [number] of [others e.g. PHN staff]</w:t>
      </w:r>
    </w:p>
    <w:p w14:paraId="5E1221B5" w14:textId="77777777" w:rsidR="00C76C50" w:rsidRPr="00C76C50" w:rsidRDefault="00C76C50" w:rsidP="00C76C50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Members will be selected through [details e.g. an open, inclusive, and accessible process].</w:t>
      </w:r>
    </w:p>
    <w:p w14:paraId="78A400C8" w14:textId="77777777" w:rsidR="00C76C50" w:rsidRPr="00C76C50" w:rsidRDefault="00C76C50" w:rsidP="00C76C50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Membership will reflect diverse backgrounds, identities, and perspectives.</w:t>
      </w:r>
    </w:p>
    <w:p w14:paraId="46BEE54D" w14:textId="77777777" w:rsidR="00C76C50" w:rsidRPr="00C76C50" w:rsidRDefault="00C76C50" w:rsidP="00C76C50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The term of membership is [e.g., one year].</w:t>
      </w:r>
    </w:p>
    <w:p w14:paraId="246FA380" w14:textId="77777777" w:rsidR="00C76C50" w:rsidRPr="00C76C50" w:rsidRDefault="00C76C50" w:rsidP="00C76C50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Members may step down at any time. To step down from the group, contact [insert nominated contact person].</w:t>
      </w:r>
    </w:p>
    <w:p w14:paraId="69E027E2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4. Selection process and criteria</w:t>
      </w:r>
    </w:p>
    <w:p w14:paraId="576706C1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Members will be selected by [who and how]. Applications may be received through an Expression of Interest process with the following criteria:</w:t>
      </w:r>
    </w:p>
    <w:p w14:paraId="267B0B68" w14:textId="77777777" w:rsidR="00C76C50" w:rsidRPr="00C76C50" w:rsidRDefault="00C76C50" w:rsidP="00C76C50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[insert criteria]</w:t>
      </w:r>
    </w:p>
    <w:p w14:paraId="597160D5" w14:textId="77777777" w:rsidR="00C76C50" w:rsidRPr="00C76C50" w:rsidRDefault="00C76C50" w:rsidP="00C76C50">
      <w:pPr>
        <w:widowControl/>
        <w:autoSpaceDE/>
        <w:autoSpaceDN/>
        <w:spacing w:after="160" w:line="259" w:lineRule="auto"/>
        <w:ind w:left="720"/>
        <w:contextualSpacing/>
        <w:rPr>
          <w:rFonts w:eastAsia="Aptos"/>
          <w:kern w:val="2"/>
          <w:lang w:val="en-AU"/>
          <w14:ligatures w14:val="standardContextual"/>
        </w:rPr>
      </w:pPr>
    </w:p>
    <w:p w14:paraId="6D9CB33A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lang w:val="en-AU"/>
          <w14:ligatures w14:val="standardContextual"/>
        </w:rPr>
      </w:pPr>
    </w:p>
    <w:p w14:paraId="2F94AED5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lang w:val="en-AU"/>
          <w14:ligatures w14:val="standardContextual"/>
        </w:rPr>
      </w:pPr>
    </w:p>
    <w:p w14:paraId="7603F778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lang w:val="en-AU"/>
          <w14:ligatures w14:val="standardContextual"/>
        </w:rPr>
      </w:pPr>
    </w:p>
    <w:p w14:paraId="1139AB7C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lastRenderedPageBreak/>
        <w:t>5. Values and Guiding Principles</w:t>
      </w:r>
      <w:r w:rsidRPr="00C76C50">
        <w:rPr>
          <w:rFonts w:eastAsia="Aptos"/>
          <w:kern w:val="2"/>
          <w:lang w:val="en-AU"/>
          <w14:ligatures w14:val="standardContextual"/>
        </w:rPr>
        <w:t xml:space="preserve"> </w:t>
      </w:r>
      <w:r w:rsidRPr="00C76C50">
        <w:rPr>
          <w:rFonts w:eastAsia="Aptos"/>
          <w:kern w:val="2"/>
          <w:lang w:val="en-AU"/>
          <w14:ligatures w14:val="standardContextual"/>
        </w:rPr>
        <w:br/>
        <w:t>Members are encouraged to be open and candid in discussing items. Members are expected to:</w:t>
      </w:r>
    </w:p>
    <w:p w14:paraId="6C74754F" w14:textId="77777777" w:rsidR="00C76C50" w:rsidRPr="00C76C50" w:rsidRDefault="00C76C50" w:rsidP="00C76C50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Share insights based on [e.g. their personal lived and living experiences or lived experiences reflective of a group].</w:t>
      </w:r>
    </w:p>
    <w:p w14:paraId="4AC5398E" w14:textId="77777777" w:rsidR="00C76C50" w:rsidRPr="00C76C50" w:rsidRDefault="00C76C50" w:rsidP="00C76C50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Engage in regular meetings and contribute to discussions.</w:t>
      </w:r>
    </w:p>
    <w:p w14:paraId="0B3DDF1F" w14:textId="77777777" w:rsidR="00C76C50" w:rsidRPr="00C76C50" w:rsidRDefault="00C76C50" w:rsidP="00C76C50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Respect confidentiality, privacy and the experiences of fellow members.</w:t>
      </w:r>
    </w:p>
    <w:p w14:paraId="5FA55644" w14:textId="77777777" w:rsidR="00C76C50" w:rsidRPr="00C76C50" w:rsidRDefault="00C76C50" w:rsidP="00C76C50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Participate in training, where necessary, to build expertise to support contributions and outcomes of the group.</w:t>
      </w:r>
    </w:p>
    <w:p w14:paraId="64EB5CC5" w14:textId="77777777" w:rsidR="00C76C50" w:rsidRPr="00C76C50" w:rsidRDefault="00C76C50" w:rsidP="00C76C50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Provide constructive feedback to support continuous improvement</w:t>
      </w:r>
    </w:p>
    <w:p w14:paraId="3452EB40" w14:textId="77777777" w:rsidR="00C76C50" w:rsidRPr="00C76C50" w:rsidRDefault="00C76C50" w:rsidP="00C76C50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 xml:space="preserve">Uphold the values and principles of lived experience, inclusive of working from a trauma informed perspective to ensure the safety of members. The ‘Shared Engagement Spaces’ provides general principles to inform the work of the group. </w:t>
      </w:r>
    </w:p>
    <w:p w14:paraId="6C17CF7D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6. Meetings</w:t>
      </w:r>
    </w:p>
    <w:p w14:paraId="687FD50F" w14:textId="77777777" w:rsidR="00C76C50" w:rsidRPr="00C76C50" w:rsidRDefault="00C76C50" w:rsidP="00C76C50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The group will meet [frequency, e.g., monthly or quarterly].</w:t>
      </w:r>
    </w:p>
    <w:p w14:paraId="0B1D9AF6" w14:textId="77777777" w:rsidR="00C76C50" w:rsidRPr="00C76C50" w:rsidRDefault="00C76C50" w:rsidP="00C76C50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Meetings will be conducted [online or in person or combination of both] in an accessible and supportive manner, accommodating diverse needs.</w:t>
      </w:r>
    </w:p>
    <w:p w14:paraId="09CE822C" w14:textId="77777777" w:rsidR="00C76C50" w:rsidRPr="00C76C50" w:rsidRDefault="00C76C50" w:rsidP="00C76C50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[if applicable] Agendas will be co-developed with members to ensure relevance and participation.</w:t>
      </w:r>
    </w:p>
    <w:p w14:paraId="52648B4E" w14:textId="77777777" w:rsidR="00C76C50" w:rsidRPr="00C76C50" w:rsidRDefault="00C76C50" w:rsidP="00C76C50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[if applicable] Decision-making will be collaborative, with consensus where possible.</w:t>
      </w:r>
    </w:p>
    <w:p w14:paraId="76410773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 xml:space="preserve">7. Sitting Fees/Honorarium (if applicable) </w:t>
      </w:r>
    </w:p>
    <w:p w14:paraId="37C7B7FF" w14:textId="77777777" w:rsidR="00C76C50" w:rsidRPr="00C76C50" w:rsidRDefault="00C76C50" w:rsidP="00C76C50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Members who are not otherwise attending in a paid capacity will receive an honorarium for time [add details i.e. how much, frequency and mode of payment].</w:t>
      </w:r>
    </w:p>
    <w:p w14:paraId="03EA76CD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8. Reporting, Decision-making and Accountability</w:t>
      </w:r>
    </w:p>
    <w:p w14:paraId="54DC3CAF" w14:textId="77777777" w:rsidR="00C76C50" w:rsidRPr="00C76C50" w:rsidRDefault="00C76C50" w:rsidP="00C76C50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The [name of group] will be chaired by [position of chair]</w:t>
      </w:r>
    </w:p>
    <w:p w14:paraId="2010F7D8" w14:textId="77777777" w:rsidR="00C76C50" w:rsidRPr="00C76C50" w:rsidRDefault="00C76C50" w:rsidP="00C76C50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[include decision-making authority i.e. is it an advisory committee that can make recommendations, refer to engagement continuum below]</w:t>
      </w:r>
    </w:p>
    <w:p w14:paraId="4600CD05" w14:textId="77777777" w:rsidR="00C76C50" w:rsidRPr="00C76C50" w:rsidRDefault="00C76C50" w:rsidP="00C76C50">
      <w:pPr>
        <w:widowControl/>
        <w:autoSpaceDE/>
        <w:autoSpaceDN/>
        <w:spacing w:after="160" w:line="259" w:lineRule="auto"/>
        <w:ind w:left="360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noProof/>
          <w:kern w:val="2"/>
          <w14:ligatures w14:val="standardContextual"/>
        </w:rPr>
        <w:drawing>
          <wp:inline distT="0" distB="0" distL="0" distR="0" wp14:anchorId="7148F487" wp14:editId="16D9E47E">
            <wp:extent cx="5731510" cy="1614805"/>
            <wp:effectExtent l="0" t="0" r="2540" b="4445"/>
            <wp:docPr id="1393312733" name="Picture 1" descr="A close-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12733" name="Picture 1" descr="A close-up of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61175" w14:textId="77777777" w:rsidR="00C76C50" w:rsidRPr="00C76C50" w:rsidRDefault="00C76C50" w:rsidP="00C76C50">
      <w:pPr>
        <w:widowControl/>
        <w:autoSpaceDE/>
        <w:autoSpaceDN/>
        <w:spacing w:after="160" w:line="259" w:lineRule="auto"/>
        <w:ind w:left="360"/>
        <w:rPr>
          <w:rFonts w:eastAsia="Aptos"/>
          <w:kern w:val="2"/>
          <w:lang w:val="en-AU"/>
          <w14:ligatures w14:val="standardContextual"/>
        </w:rPr>
      </w:pPr>
    </w:p>
    <w:p w14:paraId="74988AC5" w14:textId="77777777" w:rsidR="00C76C50" w:rsidRPr="00C76C50" w:rsidRDefault="00C76C50" w:rsidP="00C76C50">
      <w:pPr>
        <w:widowControl/>
        <w:autoSpaceDE/>
        <w:autoSpaceDN/>
        <w:spacing w:after="160" w:line="259" w:lineRule="auto"/>
        <w:ind w:left="360"/>
        <w:rPr>
          <w:rFonts w:eastAsia="Aptos"/>
          <w:kern w:val="2"/>
          <w:lang w:val="en-AU"/>
          <w14:ligatures w14:val="standardContextual"/>
        </w:rPr>
      </w:pPr>
    </w:p>
    <w:p w14:paraId="1B109C88" w14:textId="77777777" w:rsidR="00C76C50" w:rsidRPr="00C76C50" w:rsidRDefault="00C76C50" w:rsidP="00C76C50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lastRenderedPageBreak/>
        <w:t>The [name of group] will report its insights and recommendations to [decision-making body/project team if applicable].</w:t>
      </w:r>
    </w:p>
    <w:p w14:paraId="6751D5B6" w14:textId="77777777" w:rsidR="00C76C50" w:rsidRPr="00C76C50" w:rsidRDefault="00C76C50" w:rsidP="00C76C50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Feedback loops will ensure members understand how their input is used.</w:t>
      </w:r>
    </w:p>
    <w:p w14:paraId="49808BD2" w14:textId="77777777" w:rsidR="00C76C50" w:rsidRPr="00C76C50" w:rsidRDefault="00C76C50" w:rsidP="00C76C50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A [insert frequency] review will assess the effectiveness of the group and recommend improvements.</w:t>
      </w:r>
    </w:p>
    <w:p w14:paraId="6380D5EC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9. Quorum</w:t>
      </w:r>
    </w:p>
    <w:p w14:paraId="609BA862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A quorum will be considered to exist when a majority of members are present [or other criteria as required]</w:t>
      </w:r>
    </w:p>
    <w:p w14:paraId="4E9795C9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10. Public Comment</w:t>
      </w:r>
    </w:p>
    <w:p w14:paraId="285A2639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 xml:space="preserve">[If applicable] Members and attendees must avoid making public comments that may appear to be an official comment from the PHN or from [name of group]. Where public statements are deemed advantageous, these shall be distributed by the PHN through approved channels. </w:t>
      </w:r>
    </w:p>
    <w:p w14:paraId="25792942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lang w:val="en-AU"/>
          <w14:ligatures w14:val="standardContextual"/>
        </w:rPr>
      </w:pPr>
    </w:p>
    <w:p w14:paraId="34308692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11. Grievance processes</w:t>
      </w:r>
    </w:p>
    <w:p w14:paraId="44A74E5A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 xml:space="preserve">Members are encouraged to openly express concerns about the operation of the [name of group] within meetings. If not appropriate or suitable, members may also bring concerns to the Chair for assistance with resolution. </w:t>
      </w:r>
    </w:p>
    <w:p w14:paraId="6175BF31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[Insert process to raise concerns]</w:t>
      </w:r>
    </w:p>
    <w:p w14:paraId="7D34953C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lang w:val="en-AU"/>
          <w14:ligatures w14:val="standardContextual"/>
        </w:rPr>
      </w:pPr>
    </w:p>
    <w:p w14:paraId="654E2837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12. Conflicts of Interest</w:t>
      </w:r>
    </w:p>
    <w:p w14:paraId="0269A4EB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 xml:space="preserve">Members are responsible for declaring any potential, real or perceived conflict of interest at any meeting if it relates specifically to a particular issue under consideration. Conflicts of interest will be recorded. If members are unsure if something may be a conflict of interest, they are encouraged to discuss with the Chair. </w:t>
      </w:r>
    </w:p>
    <w:p w14:paraId="29E8842B" w14:textId="77777777" w:rsidR="00C76C50" w:rsidRPr="00C76C50" w:rsidRDefault="00C76C50" w:rsidP="00C76C50">
      <w:pPr>
        <w:widowControl/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b/>
          <w:bCs/>
          <w:kern w:val="2"/>
          <w:lang w:val="en-AU"/>
          <w14:ligatures w14:val="standardContextual"/>
        </w:rPr>
        <w:t>13. Review and Amendments</w:t>
      </w:r>
    </w:p>
    <w:p w14:paraId="58233353" w14:textId="77777777" w:rsidR="00C76C50" w:rsidRPr="00C76C50" w:rsidRDefault="00C76C50" w:rsidP="00C76C50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These Terms of Reference will be reviewed [insert frequency e.g. annually].</w:t>
      </w:r>
    </w:p>
    <w:p w14:paraId="5974CF7E" w14:textId="77777777" w:rsidR="00C76C50" w:rsidRPr="00C76C50" w:rsidRDefault="00C76C50" w:rsidP="00C76C50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eastAsia="Aptos"/>
          <w:kern w:val="2"/>
          <w:lang w:val="en-AU"/>
          <w14:ligatures w14:val="standardContextual"/>
        </w:rPr>
      </w:pPr>
      <w:r w:rsidRPr="00C76C50">
        <w:rPr>
          <w:rFonts w:eastAsia="Aptos"/>
          <w:kern w:val="2"/>
          <w:lang w:val="en-AU"/>
          <w14:ligatures w14:val="standardContextual"/>
        </w:rPr>
        <w:t>Members will be consulted on any proposed changes.</w:t>
      </w:r>
    </w:p>
    <w:p w14:paraId="3DDEC536" w14:textId="4C88147C" w:rsidR="00CD130E" w:rsidRPr="00C76C50" w:rsidRDefault="00CD130E" w:rsidP="00C76C50">
      <w:pPr>
        <w:rPr>
          <w:b/>
          <w:bCs/>
        </w:rPr>
      </w:pPr>
    </w:p>
    <w:sectPr w:rsidR="00CD130E" w:rsidRPr="00C76C50" w:rsidSect="0036764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100" w:bottom="709" w:left="1460" w:header="778" w:footer="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36AA" w14:textId="77777777" w:rsidR="00212BA8" w:rsidRDefault="00212BA8" w:rsidP="005C1AB3">
      <w:r>
        <w:separator/>
      </w:r>
    </w:p>
  </w:endnote>
  <w:endnote w:type="continuationSeparator" w:id="0">
    <w:p w14:paraId="1CD94919" w14:textId="77777777" w:rsidR="00212BA8" w:rsidRDefault="00212BA8" w:rsidP="005C1AB3">
      <w:r>
        <w:continuationSeparator/>
      </w:r>
    </w:p>
  </w:endnote>
  <w:endnote w:type="continuationNotice" w:id="1">
    <w:p w14:paraId="69339E5F" w14:textId="77777777" w:rsidR="00212BA8" w:rsidRDefault="00212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1878" w14:textId="2CA80AEB" w:rsidR="00977E89" w:rsidRPr="00D26280" w:rsidRDefault="00076534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D26280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</w:t>
    </w:r>
    <w:r w:rsidR="00367641">
      <w:rPr>
        <w:b/>
        <w:bCs/>
        <w:color w:val="A6A6A6" w:themeColor="background1" w:themeShade="A6"/>
        <w:sz w:val="20"/>
        <w:szCs w:val="20"/>
        <w:lang w:val="en-AU"/>
      </w:rPr>
      <w:t xml:space="preserve"> Template </w:t>
    </w:r>
    <w:r w:rsidR="00C76C50">
      <w:rPr>
        <w:b/>
        <w:bCs/>
        <w:color w:val="A6A6A6" w:themeColor="background1" w:themeShade="A6"/>
        <w:sz w:val="20"/>
        <w:szCs w:val="20"/>
        <w:lang w:val="en-AU"/>
      </w:rPr>
      <w:t>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DAFC" w14:textId="1D2F6F9E" w:rsidR="00977E89" w:rsidRPr="00367641" w:rsidRDefault="00367641" w:rsidP="00367641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367641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 Template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1987" w14:textId="77777777" w:rsidR="00212BA8" w:rsidRDefault="00212BA8" w:rsidP="005C1AB3">
      <w:r>
        <w:separator/>
      </w:r>
    </w:p>
  </w:footnote>
  <w:footnote w:type="continuationSeparator" w:id="0">
    <w:p w14:paraId="528E4E40" w14:textId="77777777" w:rsidR="00212BA8" w:rsidRDefault="00212BA8" w:rsidP="005C1AB3">
      <w:r>
        <w:continuationSeparator/>
      </w:r>
    </w:p>
  </w:footnote>
  <w:footnote w:type="continuationNotice" w:id="1">
    <w:p w14:paraId="5B2BE511" w14:textId="77777777" w:rsidR="00212BA8" w:rsidRDefault="00212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6B70" w14:textId="64E56318" w:rsidR="00367641" w:rsidRDefault="00367641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F1788F4" wp14:editId="36D0B599">
          <wp:simplePos x="0" y="0"/>
          <wp:positionH relativeFrom="page">
            <wp:posOffset>3946525</wp:posOffset>
          </wp:positionH>
          <wp:positionV relativeFrom="paragraph">
            <wp:posOffset>-495935</wp:posOffset>
          </wp:positionV>
          <wp:extent cx="3805555" cy="1363980"/>
          <wp:effectExtent l="0" t="0" r="4445" b="7620"/>
          <wp:wrapSquare wrapText="bothSides"/>
          <wp:docPr id="1059931477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4AF2" w14:textId="4569666B" w:rsidR="002A0024" w:rsidRDefault="002A0024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6192" behindDoc="0" locked="0" layoutInCell="1" allowOverlap="1" wp14:anchorId="6940BAF2" wp14:editId="6D04D5B4">
          <wp:simplePos x="0" y="0"/>
          <wp:positionH relativeFrom="page">
            <wp:posOffset>3952875</wp:posOffset>
          </wp:positionH>
          <wp:positionV relativeFrom="paragraph">
            <wp:posOffset>-494030</wp:posOffset>
          </wp:positionV>
          <wp:extent cx="3805555" cy="1363980"/>
          <wp:effectExtent l="0" t="0" r="4445" b="7620"/>
          <wp:wrapSquare wrapText="bothSides"/>
          <wp:docPr id="528104624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58.5pt;height:30.75pt;visibility:visible;mso-wrap-style:square" o:bullet="t">
        <v:imagedata r:id="rId1" o:title=""/>
      </v:shape>
    </w:pict>
  </w:numPicBullet>
  <w:abstractNum w:abstractNumId="0" w15:restartNumberingAfterBreak="0">
    <w:nsid w:val="042658F4"/>
    <w:multiLevelType w:val="multilevel"/>
    <w:tmpl w:val="9650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04908"/>
    <w:multiLevelType w:val="multilevel"/>
    <w:tmpl w:val="015E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F5DFA"/>
    <w:multiLevelType w:val="hybridMultilevel"/>
    <w:tmpl w:val="F4A4D0D2"/>
    <w:lvl w:ilvl="0" w:tplc="BC881E8E">
      <w:numFmt w:val="bullet"/>
      <w:lvlText w:val=""/>
      <w:lvlJc w:val="left"/>
      <w:pPr>
        <w:ind w:left="80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7FA07C66">
      <w:numFmt w:val="bullet"/>
      <w:lvlText w:val="•"/>
      <w:lvlJc w:val="left"/>
      <w:pPr>
        <w:ind w:left="1688" w:hanging="339"/>
      </w:pPr>
      <w:rPr>
        <w:rFonts w:hint="default"/>
        <w:lang w:val="en-US" w:eastAsia="en-US" w:bidi="ar-SA"/>
      </w:rPr>
    </w:lvl>
    <w:lvl w:ilvl="2" w:tplc="ED243D5E">
      <w:numFmt w:val="bullet"/>
      <w:lvlText w:val="•"/>
      <w:lvlJc w:val="left"/>
      <w:pPr>
        <w:ind w:left="2576" w:hanging="339"/>
      </w:pPr>
      <w:rPr>
        <w:rFonts w:hint="default"/>
        <w:lang w:val="en-US" w:eastAsia="en-US" w:bidi="ar-SA"/>
      </w:rPr>
    </w:lvl>
    <w:lvl w:ilvl="3" w:tplc="A2C61AE4">
      <w:numFmt w:val="bullet"/>
      <w:lvlText w:val="•"/>
      <w:lvlJc w:val="left"/>
      <w:pPr>
        <w:ind w:left="3464" w:hanging="339"/>
      </w:pPr>
      <w:rPr>
        <w:rFonts w:hint="default"/>
        <w:lang w:val="en-US" w:eastAsia="en-US" w:bidi="ar-SA"/>
      </w:rPr>
    </w:lvl>
    <w:lvl w:ilvl="4" w:tplc="27A40B78">
      <w:numFmt w:val="bullet"/>
      <w:lvlText w:val="•"/>
      <w:lvlJc w:val="left"/>
      <w:pPr>
        <w:ind w:left="4352" w:hanging="339"/>
      </w:pPr>
      <w:rPr>
        <w:rFonts w:hint="default"/>
        <w:lang w:val="en-US" w:eastAsia="en-US" w:bidi="ar-SA"/>
      </w:rPr>
    </w:lvl>
    <w:lvl w:ilvl="5" w:tplc="746E0E82">
      <w:numFmt w:val="bullet"/>
      <w:lvlText w:val="•"/>
      <w:lvlJc w:val="left"/>
      <w:pPr>
        <w:ind w:left="5240" w:hanging="339"/>
      </w:pPr>
      <w:rPr>
        <w:rFonts w:hint="default"/>
        <w:lang w:val="en-US" w:eastAsia="en-US" w:bidi="ar-SA"/>
      </w:rPr>
    </w:lvl>
    <w:lvl w:ilvl="6" w:tplc="EAE4DF54">
      <w:numFmt w:val="bullet"/>
      <w:lvlText w:val="•"/>
      <w:lvlJc w:val="left"/>
      <w:pPr>
        <w:ind w:left="6128" w:hanging="339"/>
      </w:pPr>
      <w:rPr>
        <w:rFonts w:hint="default"/>
        <w:lang w:val="en-US" w:eastAsia="en-US" w:bidi="ar-SA"/>
      </w:rPr>
    </w:lvl>
    <w:lvl w:ilvl="7" w:tplc="35EE7AC4">
      <w:numFmt w:val="bullet"/>
      <w:lvlText w:val="•"/>
      <w:lvlJc w:val="left"/>
      <w:pPr>
        <w:ind w:left="7016" w:hanging="339"/>
      </w:pPr>
      <w:rPr>
        <w:rFonts w:hint="default"/>
        <w:lang w:val="en-US" w:eastAsia="en-US" w:bidi="ar-SA"/>
      </w:rPr>
    </w:lvl>
    <w:lvl w:ilvl="8" w:tplc="31DAFCA4">
      <w:numFmt w:val="bullet"/>
      <w:lvlText w:val="•"/>
      <w:lvlJc w:val="left"/>
      <w:pPr>
        <w:ind w:left="7904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2AAD7484"/>
    <w:multiLevelType w:val="hybridMultilevel"/>
    <w:tmpl w:val="77928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159DC"/>
    <w:multiLevelType w:val="hybridMultilevel"/>
    <w:tmpl w:val="30963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40F0"/>
    <w:multiLevelType w:val="multilevel"/>
    <w:tmpl w:val="0074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567B3"/>
    <w:multiLevelType w:val="multilevel"/>
    <w:tmpl w:val="1BE2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D52FA"/>
    <w:multiLevelType w:val="multilevel"/>
    <w:tmpl w:val="28CE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963CE"/>
    <w:multiLevelType w:val="multilevel"/>
    <w:tmpl w:val="407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55AA7"/>
    <w:multiLevelType w:val="multilevel"/>
    <w:tmpl w:val="EC40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617B8"/>
    <w:multiLevelType w:val="hybridMultilevel"/>
    <w:tmpl w:val="55DE9B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19179756">
    <w:abstractNumId w:val="2"/>
  </w:num>
  <w:num w:numId="2" w16cid:durableId="1942030202">
    <w:abstractNumId w:val="10"/>
  </w:num>
  <w:num w:numId="3" w16cid:durableId="933631741">
    <w:abstractNumId w:val="3"/>
  </w:num>
  <w:num w:numId="4" w16cid:durableId="1823963016">
    <w:abstractNumId w:val="8"/>
  </w:num>
  <w:num w:numId="5" w16cid:durableId="2142115673">
    <w:abstractNumId w:val="6"/>
  </w:num>
  <w:num w:numId="6" w16cid:durableId="359281556">
    <w:abstractNumId w:val="9"/>
  </w:num>
  <w:num w:numId="7" w16cid:durableId="233204462">
    <w:abstractNumId w:val="7"/>
  </w:num>
  <w:num w:numId="8" w16cid:durableId="1394547196">
    <w:abstractNumId w:val="0"/>
  </w:num>
  <w:num w:numId="9" w16cid:durableId="548881247">
    <w:abstractNumId w:val="1"/>
  </w:num>
  <w:num w:numId="10" w16cid:durableId="665549604">
    <w:abstractNumId w:val="5"/>
  </w:num>
  <w:num w:numId="11" w16cid:durableId="2107965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BE"/>
    <w:rsid w:val="00002B63"/>
    <w:rsid w:val="0001509D"/>
    <w:rsid w:val="0006745E"/>
    <w:rsid w:val="00076534"/>
    <w:rsid w:val="00094E20"/>
    <w:rsid w:val="000B3BE5"/>
    <w:rsid w:val="000B7A9A"/>
    <w:rsid w:val="000E2AFC"/>
    <w:rsid w:val="00137CBE"/>
    <w:rsid w:val="001429DB"/>
    <w:rsid w:val="001A34DD"/>
    <w:rsid w:val="001D3B9D"/>
    <w:rsid w:val="001D5E61"/>
    <w:rsid w:val="001E5B76"/>
    <w:rsid w:val="001F041A"/>
    <w:rsid w:val="002019C0"/>
    <w:rsid w:val="00212BA8"/>
    <w:rsid w:val="0023274C"/>
    <w:rsid w:val="00245230"/>
    <w:rsid w:val="0027442C"/>
    <w:rsid w:val="00281AC9"/>
    <w:rsid w:val="00286474"/>
    <w:rsid w:val="00293A87"/>
    <w:rsid w:val="002957B3"/>
    <w:rsid w:val="002A0024"/>
    <w:rsid w:val="002C1F60"/>
    <w:rsid w:val="002F19BF"/>
    <w:rsid w:val="0031298B"/>
    <w:rsid w:val="003370B0"/>
    <w:rsid w:val="00366F42"/>
    <w:rsid w:val="00367641"/>
    <w:rsid w:val="003B3EB1"/>
    <w:rsid w:val="00400347"/>
    <w:rsid w:val="004707BD"/>
    <w:rsid w:val="004A7DB9"/>
    <w:rsid w:val="004F05C9"/>
    <w:rsid w:val="004F4D6B"/>
    <w:rsid w:val="005132B8"/>
    <w:rsid w:val="00534858"/>
    <w:rsid w:val="005B1EA8"/>
    <w:rsid w:val="005B67C0"/>
    <w:rsid w:val="005C1AB3"/>
    <w:rsid w:val="005C7E17"/>
    <w:rsid w:val="005E7654"/>
    <w:rsid w:val="00646A43"/>
    <w:rsid w:val="006675F0"/>
    <w:rsid w:val="00685540"/>
    <w:rsid w:val="006B1602"/>
    <w:rsid w:val="006D4707"/>
    <w:rsid w:val="0071746C"/>
    <w:rsid w:val="00726A25"/>
    <w:rsid w:val="007A540A"/>
    <w:rsid w:val="007A69C8"/>
    <w:rsid w:val="007B60E3"/>
    <w:rsid w:val="007D1C82"/>
    <w:rsid w:val="00855F15"/>
    <w:rsid w:val="00872A26"/>
    <w:rsid w:val="00872C58"/>
    <w:rsid w:val="008C07DC"/>
    <w:rsid w:val="008D1DBA"/>
    <w:rsid w:val="008E16F6"/>
    <w:rsid w:val="00922A5D"/>
    <w:rsid w:val="00977E89"/>
    <w:rsid w:val="00982566"/>
    <w:rsid w:val="009922BB"/>
    <w:rsid w:val="009F6841"/>
    <w:rsid w:val="00A013ED"/>
    <w:rsid w:val="00A01ADF"/>
    <w:rsid w:val="00A44F0D"/>
    <w:rsid w:val="00A50EA7"/>
    <w:rsid w:val="00A77852"/>
    <w:rsid w:val="00AB02AD"/>
    <w:rsid w:val="00AB1172"/>
    <w:rsid w:val="00AB26D9"/>
    <w:rsid w:val="00B838E5"/>
    <w:rsid w:val="00B9360D"/>
    <w:rsid w:val="00BC7F92"/>
    <w:rsid w:val="00BE21DA"/>
    <w:rsid w:val="00C3701B"/>
    <w:rsid w:val="00C53F63"/>
    <w:rsid w:val="00C76C50"/>
    <w:rsid w:val="00C868DC"/>
    <w:rsid w:val="00C86DDF"/>
    <w:rsid w:val="00C942A7"/>
    <w:rsid w:val="00CD130E"/>
    <w:rsid w:val="00D26280"/>
    <w:rsid w:val="00D53D9F"/>
    <w:rsid w:val="00D96116"/>
    <w:rsid w:val="00E02BB9"/>
    <w:rsid w:val="00E303C1"/>
    <w:rsid w:val="00ED77FD"/>
    <w:rsid w:val="00F8142A"/>
    <w:rsid w:val="00F879F5"/>
    <w:rsid w:val="00FA60CF"/>
    <w:rsid w:val="00FC6E28"/>
    <w:rsid w:val="00FD0D77"/>
    <w:rsid w:val="2F18E19B"/>
    <w:rsid w:val="3FECB8F6"/>
    <w:rsid w:val="645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24AC8"/>
  <w15:docId w15:val="{8FE59AA6-05FB-4ABF-A25D-C43E79BE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1"/>
      <w:ind w:left="123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3"/>
      <w:ind w:left="12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24"/>
    </w:pPr>
    <w:rPr>
      <w:sz w:val="49"/>
      <w:szCs w:val="49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6"/>
      <w:ind w:left="800" w:hanging="339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A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AB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C07D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C0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D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D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0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AAABD3159D948980207BA10F21646" ma:contentTypeVersion="" ma:contentTypeDescription="Create a new document." ma:contentTypeScope="" ma:versionID="c6ff5fea1eab3d1cc6a687c3f9e5d2f4">
  <xsd:schema xmlns:xsd="http://www.w3.org/2001/XMLSchema" xmlns:xs="http://www.w3.org/2001/XMLSchema" xmlns:p="http://schemas.microsoft.com/office/2006/metadata/properties" xmlns:ns2="ee03c1c1-b45e-4d20-895a-c69b2c1425c3" xmlns:ns3="41d1716c-9572-42d3-b4bd-88656f632ec3" targetNamespace="http://schemas.microsoft.com/office/2006/metadata/properties" ma:root="true" ma:fieldsID="2a9d3f9ccf37ca98b531592096fb9166" ns2:_="" ns3:_="">
    <xsd:import namespace="ee03c1c1-b45e-4d20-895a-c69b2c1425c3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3c1c1-b45e-4d20-895a-c69b2c14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1716c-9572-42d3-b4bd-88656f632ec3" xsi:nil="true"/>
    <lcf76f155ced4ddcb4097134ff3c332f xmlns="ee03c1c1-b45e-4d20-895a-c69b2c1425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9F496-C0B4-449C-9990-9541F839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3c1c1-b45e-4d20-895a-c69b2c1425c3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0819A-1891-4887-BF91-DD44994C1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F1964-66E3-46C8-BDA5-84BC1F28EE58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ee03c1c1-b45e-4d20-895a-c69b2c142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https://partners4health.sharepoint.com/:w:/g/programs/Communications/EdgTqvhopEBIrtY5fJQ6_voBGtmOswcZ-LY5T6K19_Mm8g?e=KfOW6Q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POL_Health Professional Engagement Policy</dc:title>
  <dc:subject/>
  <dc:creator>Emily Newton</dc:creator>
  <cp:keywords/>
  <cp:lastModifiedBy>Emily Newton</cp:lastModifiedBy>
  <cp:revision>5</cp:revision>
  <dcterms:created xsi:type="dcterms:W3CDTF">2025-08-01T02:24:00Z</dcterms:created>
  <dcterms:modified xsi:type="dcterms:W3CDTF">2025-08-01T02:25:00Z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0x010100D63AAABD3159D948980207BA10F21646</vt:lpwstr>
  </property>
  <property fmtid="{D5CDD505-2E9C-101B-9397-08002B2CF9AE}" pid="6" name="MediaServiceImageTags">
    <vt:lpwstr/>
  </property>
</Properties>
</file>