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21" w14:textId="116A1E3C" w:rsidR="00F80789" w:rsidRPr="00F80789" w:rsidRDefault="003273F6" w:rsidP="003273F6">
      <w:pPr>
        <w:pStyle w:val="Title"/>
      </w:pPr>
      <w:r>
        <w:t>Partnership Meeting Schedule</w:t>
      </w:r>
    </w:p>
    <w:p w14:paraId="5FFE5BB4" w14:textId="77777777" w:rsidR="003273F6" w:rsidRPr="00F80789" w:rsidRDefault="003273F6" w:rsidP="003273F6"/>
    <w:p w14:paraId="69411ED1" w14:textId="77777777" w:rsidR="003273F6" w:rsidRDefault="003273F6" w:rsidP="003273F6">
      <w:r>
        <w:t>Regular check-in meetings provide both parties an opportunity to identify what is working and what can be improved, and develop a plan for these improvements.</w:t>
      </w:r>
    </w:p>
    <w:p w14:paraId="7C2FD848" w14:textId="02483609" w:rsidR="009E361E" w:rsidRDefault="003273F6" w:rsidP="003273F6">
      <w:r>
        <w:t>The following table establishes the partnership meeting schedule, roles and responsibilities.</w:t>
      </w:r>
    </w:p>
    <w:p w14:paraId="390B1D11" w14:textId="77777777" w:rsidR="003273F6" w:rsidRDefault="003273F6" w:rsidP="003273F6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3273F6" w14:paraId="52587178" w14:textId="77777777" w:rsidTr="003273F6">
        <w:tc>
          <w:tcPr>
            <w:tcW w:w="2122" w:type="dxa"/>
            <w:shd w:val="clear" w:color="auto" w:fill="F0CCEF" w:themeFill="accent1" w:themeFillTint="33"/>
          </w:tcPr>
          <w:p w14:paraId="31746218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Agreed meeting format</w:t>
            </w:r>
          </w:p>
          <w:p w14:paraId="3D9AB474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5F59F805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42A1A2C2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4A6AB372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12223ADE" w14:textId="5A9D8C17" w:rsidR="003273F6" w:rsidRDefault="003273F6" w:rsidP="003273F6">
            <w:pPr>
              <w:pStyle w:val="Question"/>
              <w:spacing w:before="60"/>
            </w:pPr>
          </w:p>
        </w:tc>
        <w:tc>
          <w:tcPr>
            <w:tcW w:w="7371" w:type="dxa"/>
          </w:tcPr>
          <w:p w14:paraId="15743D3B" w14:textId="5E5EEC03" w:rsidR="003273F6" w:rsidRDefault="003273F6" w:rsidP="003273F6">
            <w:r>
              <w:t xml:space="preserve"> </w:t>
            </w:r>
          </w:p>
        </w:tc>
      </w:tr>
      <w:tr w:rsidR="003273F6" w14:paraId="23637F51" w14:textId="77777777" w:rsidTr="003273F6">
        <w:tc>
          <w:tcPr>
            <w:tcW w:w="2122" w:type="dxa"/>
            <w:shd w:val="clear" w:color="auto" w:fill="F0CCEF" w:themeFill="accent1" w:themeFillTint="33"/>
          </w:tcPr>
          <w:p w14:paraId="51120B76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schedule and frequency </w:t>
            </w:r>
            <w:r>
              <w:rPr>
                <w:sz w:val="20"/>
                <w:szCs w:val="20"/>
              </w:rPr>
              <w:br/>
              <w:t>of meetings</w:t>
            </w:r>
          </w:p>
          <w:p w14:paraId="28DC3C16" w14:textId="77777777" w:rsidR="003273F6" w:rsidRDefault="003273F6" w:rsidP="003273F6">
            <w:pPr>
              <w:pStyle w:val="Question"/>
              <w:spacing w:before="60"/>
            </w:pPr>
          </w:p>
          <w:p w14:paraId="450A5DB5" w14:textId="77777777" w:rsidR="003273F6" w:rsidRDefault="003273F6" w:rsidP="003273F6">
            <w:pPr>
              <w:pStyle w:val="Question"/>
              <w:spacing w:before="60"/>
            </w:pPr>
          </w:p>
          <w:p w14:paraId="3345E0F9" w14:textId="77777777" w:rsidR="003273F6" w:rsidRDefault="003273F6" w:rsidP="003273F6">
            <w:pPr>
              <w:pStyle w:val="Question"/>
              <w:spacing w:before="60"/>
            </w:pPr>
          </w:p>
          <w:p w14:paraId="2605E8BB" w14:textId="482E171E" w:rsidR="003273F6" w:rsidRDefault="003273F6" w:rsidP="003273F6">
            <w:pPr>
              <w:pStyle w:val="Question"/>
              <w:spacing w:before="60"/>
            </w:pPr>
          </w:p>
        </w:tc>
        <w:tc>
          <w:tcPr>
            <w:tcW w:w="7371" w:type="dxa"/>
          </w:tcPr>
          <w:p w14:paraId="538B07D7" w14:textId="03D00510" w:rsidR="003273F6" w:rsidRDefault="003273F6" w:rsidP="003273F6"/>
        </w:tc>
      </w:tr>
      <w:tr w:rsidR="003273F6" w14:paraId="76DE3B3F" w14:textId="77777777" w:rsidTr="003273F6">
        <w:tc>
          <w:tcPr>
            <w:tcW w:w="2122" w:type="dxa"/>
            <w:shd w:val="clear" w:color="auto" w:fill="F0CCEF" w:themeFill="accent1" w:themeFillTint="33"/>
          </w:tcPr>
          <w:p w14:paraId="2D346B5B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Coordinator/Lead</w:t>
            </w:r>
          </w:p>
          <w:p w14:paraId="6743A4E6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283CBDF1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3067896B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65A80457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64790338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3B180DE8" w14:textId="5E9A57E0" w:rsidR="003273F6" w:rsidRDefault="003273F6" w:rsidP="003273F6">
            <w:pPr>
              <w:pStyle w:val="Question"/>
              <w:spacing w:before="60"/>
            </w:pPr>
          </w:p>
        </w:tc>
        <w:tc>
          <w:tcPr>
            <w:tcW w:w="7371" w:type="dxa"/>
          </w:tcPr>
          <w:p w14:paraId="24DA6210" w14:textId="59A4013A" w:rsidR="003273F6" w:rsidRDefault="003273F6" w:rsidP="003273F6"/>
        </w:tc>
      </w:tr>
      <w:tr w:rsidR="003273F6" w14:paraId="54DF50D3" w14:textId="77777777" w:rsidTr="003273F6">
        <w:tc>
          <w:tcPr>
            <w:tcW w:w="2122" w:type="dxa"/>
            <w:shd w:val="clear" w:color="auto" w:fill="F0CCEF" w:themeFill="accent1" w:themeFillTint="33"/>
          </w:tcPr>
          <w:p w14:paraId="46C25292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Representatives </w:t>
            </w:r>
            <w:r>
              <w:rPr>
                <w:sz w:val="20"/>
                <w:szCs w:val="20"/>
              </w:rPr>
              <w:br/>
              <w:t>and role</w:t>
            </w:r>
          </w:p>
          <w:p w14:paraId="509BA7E3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65431291" w14:textId="77777777" w:rsidR="003273F6" w:rsidRDefault="003273F6" w:rsidP="003273F6">
            <w:pPr>
              <w:pStyle w:val="Question"/>
              <w:spacing w:before="60"/>
            </w:pPr>
          </w:p>
          <w:p w14:paraId="27E7AA9B" w14:textId="77777777" w:rsidR="003273F6" w:rsidRDefault="003273F6" w:rsidP="003273F6">
            <w:pPr>
              <w:pStyle w:val="Question"/>
              <w:spacing w:before="60"/>
            </w:pPr>
          </w:p>
          <w:p w14:paraId="0D25796C" w14:textId="77777777" w:rsidR="003273F6" w:rsidRDefault="003273F6" w:rsidP="003273F6">
            <w:pPr>
              <w:pStyle w:val="Question"/>
              <w:spacing w:before="60"/>
            </w:pPr>
          </w:p>
          <w:p w14:paraId="4693E4CF" w14:textId="117D6D50" w:rsidR="003273F6" w:rsidRDefault="003273F6" w:rsidP="003273F6">
            <w:pPr>
              <w:pStyle w:val="Question"/>
              <w:spacing w:before="60"/>
            </w:pPr>
          </w:p>
        </w:tc>
        <w:tc>
          <w:tcPr>
            <w:tcW w:w="7371" w:type="dxa"/>
          </w:tcPr>
          <w:p w14:paraId="32BDBBE2" w14:textId="270191CB" w:rsidR="003273F6" w:rsidRDefault="003273F6" w:rsidP="003273F6"/>
        </w:tc>
      </w:tr>
      <w:tr w:rsidR="003273F6" w14:paraId="79943672" w14:textId="77777777" w:rsidTr="003273F6">
        <w:tc>
          <w:tcPr>
            <w:tcW w:w="2122" w:type="dxa"/>
            <w:shd w:val="clear" w:color="auto" w:fill="F0CCEF" w:themeFill="accent1" w:themeFillTint="33"/>
          </w:tcPr>
          <w:p w14:paraId="3BCB3B92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 vision</w:t>
            </w:r>
          </w:p>
          <w:p w14:paraId="20EFE9C2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7FB11C4A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050247B0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00FBFDEA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2681B0B8" w14:textId="77777777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  <w:p w14:paraId="162C82BA" w14:textId="7A7CCD0D" w:rsidR="003273F6" w:rsidRDefault="003273F6" w:rsidP="003273F6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449FC567" w14:textId="734BA9ED" w:rsidR="003273F6" w:rsidRDefault="003273F6" w:rsidP="003273F6"/>
        </w:tc>
      </w:tr>
    </w:tbl>
    <w:p w14:paraId="35769AD8" w14:textId="77777777" w:rsidR="003273F6" w:rsidRPr="0043545D" w:rsidRDefault="003273F6" w:rsidP="003273F6"/>
    <w:p w14:paraId="55ADB0D6" w14:textId="77777777" w:rsidR="003273F6" w:rsidRPr="0043545D" w:rsidRDefault="003273F6"/>
    <w:sectPr w:rsidR="003273F6" w:rsidRPr="0043545D" w:rsidSect="0029073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0DD4" w14:textId="77777777" w:rsidR="00FF3182" w:rsidRDefault="00FF3182" w:rsidP="009E361E">
      <w:r>
        <w:separator/>
      </w:r>
    </w:p>
  </w:endnote>
  <w:endnote w:type="continuationSeparator" w:id="0">
    <w:p w14:paraId="7D9FAE22" w14:textId="77777777" w:rsidR="00FF3182" w:rsidRDefault="00FF3182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11F1CF01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 xml:space="preserve">GP-RACH Partnership Resource Kit • Part </w:t>
                          </w:r>
                          <w:r w:rsidR="003273F6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" filled="f" stroked="f" strokeweight=".5pt">
              <v:textbox inset="0,0,0,0">
                <w:txbxContent>
                  <w:p w14:paraId="39A4DA85" w14:textId="11F1CF01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 xml:space="preserve">GP-RACH Partnership Resource Kit • Part </w:t>
                    </w:r>
                    <w:r w:rsidR="003273F6">
                      <w:rPr>
                        <w:sz w:val="16"/>
                        <w:szCs w:val="16"/>
                      </w:rPr>
                      <w:t>2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EA08B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7C36" w14:textId="77777777" w:rsidR="00FF3182" w:rsidRDefault="00FF3182" w:rsidP="009E361E">
      <w:r>
        <w:separator/>
      </w:r>
    </w:p>
  </w:footnote>
  <w:footnote w:type="continuationSeparator" w:id="0">
    <w:p w14:paraId="5381921B" w14:textId="77777777" w:rsidR="00FF3182" w:rsidRDefault="00FF3182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8617B"/>
    <w:rsid w:val="000E3E92"/>
    <w:rsid w:val="00220B85"/>
    <w:rsid w:val="00264B3D"/>
    <w:rsid w:val="0029073B"/>
    <w:rsid w:val="002A30E0"/>
    <w:rsid w:val="002C435E"/>
    <w:rsid w:val="0030297D"/>
    <w:rsid w:val="003273F6"/>
    <w:rsid w:val="003E30D9"/>
    <w:rsid w:val="00411E4D"/>
    <w:rsid w:val="0043545D"/>
    <w:rsid w:val="0044165D"/>
    <w:rsid w:val="0045406B"/>
    <w:rsid w:val="005A523C"/>
    <w:rsid w:val="005C37C6"/>
    <w:rsid w:val="0061011A"/>
    <w:rsid w:val="0063429B"/>
    <w:rsid w:val="007543EC"/>
    <w:rsid w:val="008A1C9A"/>
    <w:rsid w:val="009E361E"/>
    <w:rsid w:val="00A95923"/>
    <w:rsid w:val="00B16468"/>
    <w:rsid w:val="00D01640"/>
    <w:rsid w:val="00DE2D9D"/>
    <w:rsid w:val="00DF074F"/>
    <w:rsid w:val="00F80789"/>
    <w:rsid w:val="00FD269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32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B397D13DC094CBF40170729029250" ma:contentTypeVersion="20" ma:contentTypeDescription="Create a new document." ma:contentTypeScope="" ma:versionID="8892b2ced95d288f2ccb3e0cb5167381">
  <xsd:schema xmlns:xsd="http://www.w3.org/2001/XMLSchema" xmlns:xs="http://www.w3.org/2001/XMLSchema" xmlns:p="http://schemas.microsoft.com/office/2006/metadata/properties" xmlns:ns1="http://schemas.microsoft.com/sharepoint/v3" xmlns:ns2="a9549860-6b73-4423-ae0a-44cda87c83a1" xmlns:ns3="3a263de8-827d-4f97-a97f-dad5ac6c6432" xmlns:ns4="8d027909-a72e-4cba-b0d7-b9fc850e636e" xmlns:ns5="41d1716c-9572-42d3-b4bd-88656f632ec3" targetNamespace="http://schemas.microsoft.com/office/2006/metadata/properties" ma:root="true" ma:fieldsID="6a45fa1ac2b76bf7702456c6833c0ea3" ns1:_="" ns2:_="" ns3:_="" ns4:_="" ns5:_="">
    <xsd:import namespace="http://schemas.microsoft.com/sharepoint/v3"/>
    <xsd:import namespace="a9549860-6b73-4423-ae0a-44cda87c83a1"/>
    <xsd:import namespace="3a263de8-827d-4f97-a97f-dad5ac6c6432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9860-6b73-4423-ae0a-44cda87c8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a9549860-6b73-4423-ae0a-44cda87c83a1">
      <Terms xmlns="http://schemas.microsoft.com/office/infopath/2007/PartnerControls"/>
    </lcf76f155ced4ddcb4097134ff3c332f>
    <TaxCatchAll xmlns="41d1716c-9572-42d3-b4bd-88656f632ec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CA01B65-CD28-4795-B18C-DAEE71A14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549860-6b73-4423-ae0a-44cda87c83a1"/>
    <ds:schemaRef ds:uri="3a263de8-827d-4f97-a97f-dad5ac6c6432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4702C-ACF3-47AE-8E85-B43F3FE1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E976E-8241-4FBC-8CEF-FAEFF58FF04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9549860-6b73-4423-ae0a-44cda87c83a1"/>
    <ds:schemaRef ds:uri="http://schemas.openxmlformats.org/package/2006/metadata/core-properties"/>
    <ds:schemaRef ds:uri="http://www.w3.org/XML/1998/namespace"/>
    <ds:schemaRef ds:uri="41d1716c-9572-42d3-b4bd-88656f632ec3"/>
    <ds:schemaRef ds:uri="8d027909-a72e-4cba-b0d7-b9fc850e636e"/>
    <ds:schemaRef ds:uri="3a263de8-827d-4f97-a97f-dad5ac6c643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Marg Clarke</cp:lastModifiedBy>
  <cp:revision>2</cp:revision>
  <dcterms:created xsi:type="dcterms:W3CDTF">2026-03-02T23:09:00Z</dcterms:created>
  <dcterms:modified xsi:type="dcterms:W3CDTF">2026-03-02T23:09:00Z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0x0101008BFB397D13DC094CBF40170729029250</vt:lpwstr>
  </property>
  <property fmtid="{D5CDD505-2E9C-101B-9397-08002B2CF9AE}" pid="3" name="MediaServiceImageTags">
    <vt:lpwstr/>
  </property>
</Properties>
</file>